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BD" w:rsidRDefault="00680ABD" w:rsidP="00245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2498596" wp14:editId="42DE84B9">
            <wp:extent cx="4111888" cy="663575"/>
            <wp:effectExtent l="0" t="0" r="3175" b="3175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300" cy="67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BD" w:rsidRDefault="00680ABD" w:rsidP="00245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45408" w:rsidRPr="002A0599" w:rsidTr="001452AF">
        <w:tc>
          <w:tcPr>
            <w:tcW w:w="2547" w:type="dxa"/>
          </w:tcPr>
          <w:p w:rsidR="00D45408" w:rsidRPr="002A0599" w:rsidRDefault="00D45408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2A0599">
              <w:rPr>
                <w:rFonts w:cs="Arial"/>
                <w:b/>
                <w:bCs/>
                <w:color w:val="000000"/>
              </w:rPr>
              <w:t>Job title:</w:t>
            </w:r>
          </w:p>
        </w:tc>
        <w:tc>
          <w:tcPr>
            <w:tcW w:w="6469" w:type="dxa"/>
          </w:tcPr>
          <w:p w:rsidR="00D45408" w:rsidRDefault="00D45408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2A0599">
              <w:rPr>
                <w:rFonts w:cs="Arial"/>
                <w:color w:val="000000"/>
              </w:rPr>
              <w:t>Volunteer Coordinator</w:t>
            </w:r>
          </w:p>
          <w:p w:rsidR="00182B92" w:rsidRPr="002A0599" w:rsidRDefault="00182B92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D45408" w:rsidRPr="002A0599" w:rsidTr="001452AF">
        <w:tc>
          <w:tcPr>
            <w:tcW w:w="2547" w:type="dxa"/>
          </w:tcPr>
          <w:p w:rsidR="00D45408" w:rsidRPr="002A0599" w:rsidRDefault="00D45408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2A0599">
              <w:rPr>
                <w:rFonts w:cs="Arial"/>
                <w:b/>
                <w:bCs/>
                <w:color w:val="000000"/>
              </w:rPr>
              <w:t>Department:</w:t>
            </w:r>
          </w:p>
        </w:tc>
        <w:tc>
          <w:tcPr>
            <w:tcW w:w="6469" w:type="dxa"/>
          </w:tcPr>
          <w:p w:rsidR="00D45408" w:rsidRDefault="00D45408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 w:rsidRPr="002A0599">
              <w:rPr>
                <w:rFonts w:cs="Arial"/>
                <w:bCs/>
                <w:color w:val="000000"/>
              </w:rPr>
              <w:t>Museum</w:t>
            </w:r>
          </w:p>
          <w:p w:rsidR="00182B92" w:rsidRPr="002A0599" w:rsidRDefault="00182B92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D45408" w:rsidRPr="002A0599" w:rsidTr="001452AF">
        <w:tc>
          <w:tcPr>
            <w:tcW w:w="2547" w:type="dxa"/>
          </w:tcPr>
          <w:p w:rsidR="00D45408" w:rsidRPr="002A0599" w:rsidRDefault="00D45408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2A0599">
              <w:rPr>
                <w:rFonts w:cs="Arial"/>
                <w:b/>
                <w:bCs/>
                <w:color w:val="000000"/>
              </w:rPr>
              <w:t>Salary</w:t>
            </w:r>
          </w:p>
        </w:tc>
        <w:tc>
          <w:tcPr>
            <w:tcW w:w="6469" w:type="dxa"/>
          </w:tcPr>
          <w:p w:rsidR="00D45408" w:rsidRDefault="00D45408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2A0599">
              <w:rPr>
                <w:rFonts w:cs="Arial"/>
                <w:color w:val="000000"/>
              </w:rPr>
              <w:t>£27,000 per annum (pro rata for part time)</w:t>
            </w:r>
          </w:p>
          <w:p w:rsidR="00182B92" w:rsidRPr="002A0599" w:rsidRDefault="00182B92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D45408" w:rsidRPr="002A0599" w:rsidTr="001452AF">
        <w:tc>
          <w:tcPr>
            <w:tcW w:w="2547" w:type="dxa"/>
          </w:tcPr>
          <w:p w:rsidR="00D45408" w:rsidRPr="002A0599" w:rsidRDefault="00D45408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2A0599">
              <w:rPr>
                <w:rFonts w:cs="Arial"/>
                <w:b/>
                <w:bCs/>
                <w:color w:val="000000"/>
              </w:rPr>
              <w:t>Location</w:t>
            </w:r>
          </w:p>
        </w:tc>
        <w:tc>
          <w:tcPr>
            <w:tcW w:w="6469" w:type="dxa"/>
          </w:tcPr>
          <w:p w:rsidR="00D45408" w:rsidRDefault="00D45408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222222"/>
              </w:rPr>
            </w:pPr>
            <w:r w:rsidRPr="002A0599">
              <w:rPr>
                <w:rFonts w:cs="Arial"/>
                <w:color w:val="000000"/>
              </w:rPr>
              <w:t xml:space="preserve">the Charterhouse, </w:t>
            </w:r>
            <w:r w:rsidRPr="002A0599">
              <w:rPr>
                <w:rFonts w:cs="Arial"/>
                <w:color w:val="222222"/>
              </w:rPr>
              <w:t>Charterhouse Square, London, EC1M 6AN</w:t>
            </w:r>
          </w:p>
          <w:p w:rsidR="00182B92" w:rsidRPr="002A0599" w:rsidRDefault="00182B92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D45408" w:rsidRPr="002A0599" w:rsidTr="001452AF">
        <w:tc>
          <w:tcPr>
            <w:tcW w:w="2547" w:type="dxa"/>
          </w:tcPr>
          <w:p w:rsidR="00D45408" w:rsidRPr="002A0599" w:rsidRDefault="00D45408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2A0599">
              <w:rPr>
                <w:rFonts w:cs="Arial"/>
                <w:b/>
                <w:bCs/>
                <w:color w:val="000000"/>
              </w:rPr>
              <w:t>Duration</w:t>
            </w:r>
          </w:p>
        </w:tc>
        <w:tc>
          <w:tcPr>
            <w:tcW w:w="6469" w:type="dxa"/>
          </w:tcPr>
          <w:p w:rsidR="00D45408" w:rsidRDefault="00D45408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2A0599">
              <w:rPr>
                <w:rFonts w:cs="Arial"/>
                <w:color w:val="000000"/>
              </w:rPr>
              <w:t xml:space="preserve">Part-time for </w:t>
            </w:r>
            <w:r w:rsidR="00A3292C">
              <w:rPr>
                <w:rFonts w:cs="Arial"/>
                <w:color w:val="000000"/>
              </w:rPr>
              <w:t>10 months</w:t>
            </w:r>
            <w:r w:rsidR="00EB50A0">
              <w:rPr>
                <w:rFonts w:cs="Arial"/>
                <w:color w:val="000000"/>
              </w:rPr>
              <w:t xml:space="preserve"> </w:t>
            </w:r>
            <w:r w:rsidR="0053629B">
              <w:rPr>
                <w:rFonts w:cs="Arial"/>
                <w:color w:val="000000"/>
              </w:rPr>
              <w:t>(2.5 days per week)</w:t>
            </w:r>
            <w:r w:rsidR="000B53D2">
              <w:rPr>
                <w:rFonts w:cs="Arial"/>
                <w:color w:val="000000"/>
              </w:rPr>
              <w:t xml:space="preserve"> – Fixed-term contract</w:t>
            </w:r>
          </w:p>
          <w:p w:rsidR="00182B92" w:rsidRPr="002A0599" w:rsidRDefault="00182B92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D45408" w:rsidRPr="002A0599" w:rsidTr="001452AF">
        <w:tc>
          <w:tcPr>
            <w:tcW w:w="2547" w:type="dxa"/>
          </w:tcPr>
          <w:p w:rsidR="00D45408" w:rsidRPr="002A0599" w:rsidRDefault="00D45408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2A0599">
              <w:rPr>
                <w:rFonts w:cs="Arial"/>
                <w:b/>
                <w:bCs/>
                <w:color w:val="000000"/>
              </w:rPr>
              <w:t>Reports to</w:t>
            </w:r>
          </w:p>
        </w:tc>
        <w:tc>
          <w:tcPr>
            <w:tcW w:w="6469" w:type="dxa"/>
          </w:tcPr>
          <w:p w:rsidR="00D45408" w:rsidRPr="00245E11" w:rsidRDefault="00D45408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2A0599">
              <w:rPr>
                <w:rFonts w:cs="Arial"/>
                <w:color w:val="000000"/>
              </w:rPr>
              <w:t xml:space="preserve">Museum </w:t>
            </w:r>
            <w:r w:rsidR="00366A96" w:rsidRPr="00245E11">
              <w:rPr>
                <w:rFonts w:cs="Arial"/>
              </w:rPr>
              <w:t xml:space="preserve">and Collections </w:t>
            </w:r>
            <w:r w:rsidRPr="00245E11">
              <w:rPr>
                <w:rFonts w:cs="Arial"/>
              </w:rPr>
              <w:t>Manager</w:t>
            </w:r>
          </w:p>
          <w:p w:rsidR="00182B92" w:rsidRPr="002A0599" w:rsidRDefault="00182B92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5121AF" w:rsidRPr="002A0599" w:rsidTr="001452AF">
        <w:tc>
          <w:tcPr>
            <w:tcW w:w="2547" w:type="dxa"/>
          </w:tcPr>
          <w:p w:rsidR="005121AF" w:rsidRPr="002A0599" w:rsidRDefault="005121AF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2A0599">
              <w:rPr>
                <w:rFonts w:cs="Arial"/>
                <w:b/>
                <w:bCs/>
                <w:color w:val="000000"/>
              </w:rPr>
              <w:t>Responsible for</w:t>
            </w:r>
          </w:p>
        </w:tc>
        <w:tc>
          <w:tcPr>
            <w:tcW w:w="6469" w:type="dxa"/>
          </w:tcPr>
          <w:p w:rsidR="005121AF" w:rsidRDefault="005121AF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2A0599">
              <w:rPr>
                <w:rFonts w:cs="Arial"/>
                <w:color w:val="000000"/>
              </w:rPr>
              <w:t>All Charterhouse volunteers</w:t>
            </w:r>
          </w:p>
          <w:p w:rsidR="00182B92" w:rsidRPr="002A0599" w:rsidRDefault="00182B92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5121AF" w:rsidRPr="002A0599" w:rsidTr="001452AF">
        <w:tc>
          <w:tcPr>
            <w:tcW w:w="2547" w:type="dxa"/>
          </w:tcPr>
          <w:p w:rsidR="005121AF" w:rsidRPr="002A0599" w:rsidRDefault="005121AF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2A0599">
              <w:rPr>
                <w:rFonts w:cs="Arial"/>
                <w:b/>
                <w:bCs/>
                <w:color w:val="000000"/>
              </w:rPr>
              <w:t>Job Purpose</w:t>
            </w:r>
          </w:p>
        </w:tc>
        <w:tc>
          <w:tcPr>
            <w:tcW w:w="6469" w:type="dxa"/>
          </w:tcPr>
          <w:p w:rsidR="005121AF" w:rsidRDefault="005121AF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2A0599">
              <w:rPr>
                <w:rFonts w:cs="Arial"/>
                <w:color w:val="000000"/>
              </w:rPr>
              <w:t>The purpose of the role will be to promote and develop all aspects</w:t>
            </w:r>
            <w:r w:rsidR="001452AF" w:rsidRPr="002A0599">
              <w:rPr>
                <w:rFonts w:cs="Arial"/>
                <w:color w:val="000000"/>
              </w:rPr>
              <w:t xml:space="preserve"> </w:t>
            </w:r>
            <w:r w:rsidRPr="002A0599">
              <w:rPr>
                <w:rFonts w:cs="Arial"/>
                <w:color w:val="000000"/>
              </w:rPr>
              <w:t>of volunteering at the Charterhouse.</w:t>
            </w:r>
          </w:p>
          <w:p w:rsidR="00182B92" w:rsidRPr="002A0599" w:rsidRDefault="00182B92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5121AF" w:rsidRPr="002A0599" w:rsidTr="001452AF">
        <w:tc>
          <w:tcPr>
            <w:tcW w:w="2547" w:type="dxa"/>
          </w:tcPr>
          <w:p w:rsidR="005121AF" w:rsidRPr="002A0599" w:rsidRDefault="005121AF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2A0599">
              <w:rPr>
                <w:rFonts w:cs="Arial"/>
                <w:b/>
                <w:bCs/>
                <w:color w:val="000000"/>
              </w:rPr>
              <w:t>Role description:</w:t>
            </w:r>
          </w:p>
          <w:p w:rsidR="005121AF" w:rsidRPr="002A0599" w:rsidRDefault="005121AF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469" w:type="dxa"/>
          </w:tcPr>
          <w:p w:rsidR="00245E11" w:rsidRDefault="00183AD9" w:rsidP="00245E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66"/>
              <w:jc w:val="both"/>
              <w:rPr>
                <w:rFonts w:cs="Arial"/>
                <w:color w:val="000000"/>
              </w:rPr>
            </w:pPr>
            <w:r w:rsidRPr="00DE35DB">
              <w:rPr>
                <w:rFonts w:cs="Arial"/>
                <w:color w:val="000000"/>
              </w:rPr>
              <w:t>Be the first point of contact for enquiries from new and existing volunteers and work placements</w:t>
            </w:r>
          </w:p>
          <w:p w:rsidR="00245E11" w:rsidRPr="00245E11" w:rsidRDefault="00366A96" w:rsidP="00245E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40"/>
              <w:jc w:val="both"/>
              <w:rPr>
                <w:rFonts w:cs="Arial"/>
              </w:rPr>
            </w:pPr>
            <w:r w:rsidRPr="00245E11">
              <w:rPr>
                <w:rFonts w:cs="Arial"/>
              </w:rPr>
              <w:t>Recruiting, training and coordinating a diverse team of over 70 volunteers working in areas such as visitor engagement, learning, collections and befriending.</w:t>
            </w:r>
          </w:p>
          <w:p w:rsidR="00245E11" w:rsidRPr="00245E11" w:rsidRDefault="00183AD9" w:rsidP="00245E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40"/>
              <w:jc w:val="both"/>
              <w:rPr>
                <w:rFonts w:cs="Arial"/>
              </w:rPr>
            </w:pPr>
            <w:r w:rsidRPr="00245E11">
              <w:rPr>
                <w:rFonts w:cs="Arial"/>
              </w:rPr>
              <w:t>Developing new roles and c</w:t>
            </w:r>
            <w:r w:rsidR="00366A96" w:rsidRPr="00245E11">
              <w:rPr>
                <w:rFonts w:cs="Arial"/>
              </w:rPr>
              <w:t>onducting risk assessments. </w:t>
            </w:r>
          </w:p>
          <w:p w:rsidR="00245E11" w:rsidRPr="00245E11" w:rsidRDefault="00366A96" w:rsidP="00245E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40"/>
              <w:jc w:val="both"/>
              <w:rPr>
                <w:rFonts w:cs="Arial"/>
              </w:rPr>
            </w:pPr>
            <w:r w:rsidRPr="00245E11">
              <w:rPr>
                <w:rFonts w:cs="Arial"/>
              </w:rPr>
              <w:t>Managing a volunteer database. </w:t>
            </w:r>
          </w:p>
          <w:p w:rsidR="00245E11" w:rsidRPr="00245E11" w:rsidRDefault="00366A96" w:rsidP="00245E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40"/>
              <w:jc w:val="both"/>
              <w:rPr>
                <w:rFonts w:cs="Arial"/>
              </w:rPr>
            </w:pPr>
            <w:r w:rsidRPr="00245E11">
              <w:rPr>
                <w:rFonts w:cs="Arial"/>
              </w:rPr>
              <w:t xml:space="preserve">Managing the </w:t>
            </w:r>
            <w:r w:rsidR="00B67185">
              <w:rPr>
                <w:rFonts w:cs="Arial"/>
              </w:rPr>
              <w:t xml:space="preserve">team of </w:t>
            </w:r>
            <w:r w:rsidRPr="00245E11">
              <w:rPr>
                <w:rFonts w:cs="Arial"/>
              </w:rPr>
              <w:t xml:space="preserve">visitor engagement </w:t>
            </w:r>
            <w:r w:rsidR="00B67185">
              <w:rPr>
                <w:rFonts w:cs="Arial"/>
              </w:rPr>
              <w:t>volunteers</w:t>
            </w:r>
            <w:r w:rsidRPr="00245E11">
              <w:rPr>
                <w:rFonts w:cs="Arial"/>
              </w:rPr>
              <w:t>, coordinating monthly rotas and developing a programme of volunteer-led highlight talks. </w:t>
            </w:r>
          </w:p>
          <w:p w:rsidR="00245E11" w:rsidRPr="00B67185" w:rsidRDefault="00366A96" w:rsidP="00B6718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40"/>
              <w:jc w:val="both"/>
              <w:rPr>
                <w:rFonts w:cs="Arial"/>
              </w:rPr>
            </w:pPr>
            <w:r w:rsidRPr="00245E11">
              <w:rPr>
                <w:rFonts w:cs="Arial"/>
              </w:rPr>
              <w:t>Managing budgets and expenditure, including volunteer expenses. </w:t>
            </w:r>
          </w:p>
          <w:p w:rsidR="00245E11" w:rsidRPr="00245E11" w:rsidRDefault="00366A96" w:rsidP="00245E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40"/>
              <w:jc w:val="both"/>
              <w:rPr>
                <w:rFonts w:cs="Arial"/>
              </w:rPr>
            </w:pPr>
            <w:r w:rsidRPr="00245E11">
              <w:rPr>
                <w:rFonts w:cs="Arial"/>
              </w:rPr>
              <w:t xml:space="preserve">Creating volunteer retention </w:t>
            </w:r>
            <w:r w:rsidR="00B67185">
              <w:rPr>
                <w:rFonts w:cs="Arial"/>
              </w:rPr>
              <w:t xml:space="preserve">and development </w:t>
            </w:r>
            <w:r w:rsidRPr="00245E11">
              <w:rPr>
                <w:rFonts w:cs="Arial"/>
              </w:rPr>
              <w:t xml:space="preserve">strategies, including </w:t>
            </w:r>
            <w:r w:rsidR="00B67185">
              <w:rPr>
                <w:rFonts w:cs="Arial"/>
              </w:rPr>
              <w:t>induction procedures</w:t>
            </w:r>
            <w:r w:rsidRPr="00245E11">
              <w:rPr>
                <w:rFonts w:cs="Arial"/>
              </w:rPr>
              <w:t>, opportunities for </w:t>
            </w:r>
            <w:r w:rsidR="00245E11" w:rsidRPr="00245E11">
              <w:rPr>
                <w:rFonts w:cs="Arial"/>
              </w:rPr>
              <w:t>p</w:t>
            </w:r>
            <w:r w:rsidRPr="00245E11">
              <w:rPr>
                <w:rFonts w:cs="Arial"/>
              </w:rPr>
              <w:t>rofessional development, outings and thank</w:t>
            </w:r>
            <w:r w:rsidR="00245E11">
              <w:rPr>
                <w:rFonts w:cs="Arial"/>
              </w:rPr>
              <w:t>-</w:t>
            </w:r>
            <w:r w:rsidRPr="00245E11">
              <w:rPr>
                <w:rFonts w:cs="Arial"/>
              </w:rPr>
              <w:t>you events. </w:t>
            </w:r>
          </w:p>
          <w:p w:rsidR="00245E11" w:rsidRPr="00245E11" w:rsidRDefault="00366A96" w:rsidP="00245E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40"/>
              <w:jc w:val="both"/>
              <w:rPr>
                <w:rFonts w:cs="Arial"/>
              </w:rPr>
            </w:pPr>
            <w:r w:rsidRPr="00245E11">
              <w:rPr>
                <w:rFonts w:cs="Arial"/>
              </w:rPr>
              <w:t>Project evaluation and reporting. </w:t>
            </w:r>
          </w:p>
          <w:p w:rsidR="00C36041" w:rsidRPr="00245E11" w:rsidRDefault="00366A96" w:rsidP="00245E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66"/>
              <w:jc w:val="both"/>
              <w:rPr>
                <w:rFonts w:cs="Arial"/>
              </w:rPr>
            </w:pPr>
            <w:r w:rsidRPr="00245E11">
              <w:rPr>
                <w:rFonts w:cs="Arial"/>
              </w:rPr>
              <w:t>Managing</w:t>
            </w:r>
            <w:r w:rsidR="00C36041" w:rsidRPr="00245E11">
              <w:rPr>
                <w:rFonts w:cs="Arial"/>
              </w:rPr>
              <w:t xml:space="preserve"> work</w:t>
            </w:r>
            <w:r w:rsidR="0092594C" w:rsidRPr="00245E11">
              <w:rPr>
                <w:rFonts w:cs="Arial"/>
              </w:rPr>
              <w:t xml:space="preserve"> </w:t>
            </w:r>
            <w:r w:rsidR="001B008D" w:rsidRPr="00245E11">
              <w:rPr>
                <w:rFonts w:cs="Arial"/>
              </w:rPr>
              <w:t>p</w:t>
            </w:r>
            <w:r w:rsidR="00C36041" w:rsidRPr="00245E11">
              <w:rPr>
                <w:rFonts w:cs="Arial"/>
              </w:rPr>
              <w:t>lacements</w:t>
            </w:r>
            <w:r w:rsidRPr="00245E11">
              <w:rPr>
                <w:rFonts w:cs="Arial"/>
              </w:rPr>
              <w:t xml:space="preserve"> and overseeing higher</w:t>
            </w:r>
            <w:r w:rsidR="00245E11" w:rsidRPr="00245E11">
              <w:rPr>
                <w:rFonts w:cs="Arial"/>
              </w:rPr>
              <w:t xml:space="preserve"> </w:t>
            </w:r>
            <w:r w:rsidRPr="00245E11">
              <w:rPr>
                <w:rFonts w:cs="Arial"/>
              </w:rPr>
              <w:t>education placements. </w:t>
            </w:r>
          </w:p>
          <w:p w:rsidR="005121AF" w:rsidRPr="00245E11" w:rsidRDefault="00B67185" w:rsidP="00245E1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</w:rPr>
              <w:t>Liaise closely with the museum team and support other members of staff managing volunteers.</w:t>
            </w:r>
          </w:p>
        </w:tc>
      </w:tr>
      <w:tr w:rsidR="001452AF" w:rsidRPr="002A0599" w:rsidTr="001452AF">
        <w:tc>
          <w:tcPr>
            <w:tcW w:w="2547" w:type="dxa"/>
          </w:tcPr>
          <w:p w:rsidR="001452AF" w:rsidRPr="002A0599" w:rsidRDefault="001452AF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2A0599">
              <w:rPr>
                <w:rFonts w:cs="Arial"/>
                <w:b/>
                <w:bCs/>
                <w:color w:val="000000"/>
              </w:rPr>
              <w:t>Person</w:t>
            </w:r>
          </w:p>
          <w:p w:rsidR="001452AF" w:rsidRPr="002A0599" w:rsidRDefault="001452AF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2A0599">
              <w:rPr>
                <w:rFonts w:cs="Arial"/>
                <w:b/>
                <w:bCs/>
                <w:color w:val="000000"/>
              </w:rPr>
              <w:t>Specification:</w:t>
            </w:r>
          </w:p>
          <w:p w:rsidR="001452AF" w:rsidRPr="002A0599" w:rsidRDefault="001452AF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2A0599">
              <w:rPr>
                <w:rFonts w:cs="Arial"/>
                <w:b/>
                <w:bCs/>
                <w:color w:val="000000"/>
              </w:rPr>
              <w:t>Essential</w:t>
            </w:r>
          </w:p>
          <w:p w:rsidR="001452AF" w:rsidRPr="002A0599" w:rsidRDefault="001452AF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469" w:type="dxa"/>
          </w:tcPr>
          <w:p w:rsidR="001452AF" w:rsidRPr="00B220DC" w:rsidRDefault="001452AF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 w:rsidRPr="00B220DC">
              <w:rPr>
                <w:rFonts w:cs="Arial"/>
                <w:b/>
                <w:color w:val="000000"/>
              </w:rPr>
              <w:t xml:space="preserve">Essential:- </w:t>
            </w:r>
          </w:p>
          <w:p w:rsidR="00A3292C" w:rsidRPr="00B220DC" w:rsidRDefault="00A3292C" w:rsidP="00A329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B220DC">
              <w:rPr>
                <w:rFonts w:cs="Arial"/>
                <w:color w:val="000000"/>
              </w:rPr>
              <w:t xml:space="preserve">A minimum of </w:t>
            </w:r>
            <w:r>
              <w:rPr>
                <w:rFonts w:cs="Arial"/>
                <w:color w:val="000000"/>
              </w:rPr>
              <w:t>one</w:t>
            </w:r>
            <w:r w:rsidRPr="00B220DC">
              <w:rPr>
                <w:rFonts w:cs="Arial"/>
                <w:color w:val="000000"/>
              </w:rPr>
              <w:t xml:space="preserve"> year’s volunteer management experience</w:t>
            </w:r>
          </w:p>
          <w:p w:rsidR="00AE0205" w:rsidRDefault="00A3292C" w:rsidP="00AE0205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2A0599">
              <w:rPr>
                <w:rFonts w:cs="Arial"/>
                <w:color w:val="000000"/>
              </w:rPr>
              <w:t>gained in a similar environment</w:t>
            </w:r>
            <w:r w:rsidRPr="00245E11">
              <w:rPr>
                <w:rFonts w:cs="Arial"/>
                <w:color w:val="000000"/>
              </w:rPr>
              <w:t xml:space="preserve"> </w:t>
            </w:r>
          </w:p>
          <w:p w:rsidR="00245E11" w:rsidRPr="00AE0205" w:rsidRDefault="00245E11" w:rsidP="00AE020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AE0205">
              <w:rPr>
                <w:rFonts w:cs="Arial"/>
                <w:color w:val="000000"/>
              </w:rPr>
              <w:t>Enthusiasm for supporting volunteers develop and learn through access to heritage</w:t>
            </w:r>
            <w:r w:rsidR="00AA3E79">
              <w:rPr>
                <w:rFonts w:cs="Arial"/>
                <w:color w:val="000000"/>
              </w:rPr>
              <w:t xml:space="preserve"> </w:t>
            </w:r>
          </w:p>
          <w:p w:rsidR="001452AF" w:rsidRDefault="001452AF" w:rsidP="00245E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383C29">
              <w:rPr>
                <w:rFonts w:cs="Arial"/>
                <w:color w:val="000000"/>
              </w:rPr>
              <w:lastRenderedPageBreak/>
              <w:t>Excellent interpersonal and communication skills with the ability</w:t>
            </w:r>
            <w:r w:rsidR="00383C29" w:rsidRPr="00383C29">
              <w:rPr>
                <w:rFonts w:cs="Arial"/>
                <w:color w:val="000000"/>
              </w:rPr>
              <w:t xml:space="preserve"> </w:t>
            </w:r>
            <w:r w:rsidRPr="00383C29">
              <w:rPr>
                <w:rFonts w:cs="Arial"/>
                <w:color w:val="000000"/>
              </w:rPr>
              <w:t xml:space="preserve">to communicate with a broad range of people both </w:t>
            </w:r>
            <w:r w:rsidRPr="00245E11">
              <w:rPr>
                <w:rFonts w:cs="Arial"/>
                <w:color w:val="000000"/>
              </w:rPr>
              <w:t>internally and</w:t>
            </w:r>
            <w:r w:rsidR="00383C29" w:rsidRPr="00245E11">
              <w:rPr>
                <w:rFonts w:cs="Arial"/>
                <w:color w:val="000000"/>
              </w:rPr>
              <w:t xml:space="preserve"> </w:t>
            </w:r>
            <w:r w:rsidRPr="00245E11">
              <w:rPr>
                <w:rFonts w:cs="Arial"/>
                <w:color w:val="000000"/>
              </w:rPr>
              <w:t>externally</w:t>
            </w:r>
          </w:p>
          <w:p w:rsidR="0070224C" w:rsidRDefault="0070224C" w:rsidP="00245E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Understanding of excellent customer care and proven ability to inspire this in a diverse volunteer team</w:t>
            </w:r>
          </w:p>
          <w:p w:rsidR="001452AF" w:rsidRPr="00245E11" w:rsidRDefault="00245E11" w:rsidP="00245E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245E11">
              <w:rPr>
                <w:rFonts w:cs="Arial"/>
                <w:color w:val="000000"/>
              </w:rPr>
              <w:t>Strong leadership skills</w:t>
            </w:r>
          </w:p>
          <w:p w:rsidR="001452AF" w:rsidRPr="00F44DB8" w:rsidRDefault="001452AF" w:rsidP="00245E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F44DB8">
              <w:rPr>
                <w:rFonts w:cs="Arial"/>
                <w:color w:val="000000"/>
              </w:rPr>
              <w:t>Ability to be flexible and work as part of a team</w:t>
            </w:r>
          </w:p>
          <w:p w:rsidR="001452AF" w:rsidRPr="00245E11" w:rsidRDefault="001452AF" w:rsidP="00245E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245E11">
              <w:rPr>
                <w:rFonts w:cs="Arial"/>
                <w:color w:val="000000"/>
              </w:rPr>
              <w:t>Reliability and good time-keeping skills</w:t>
            </w:r>
          </w:p>
          <w:p w:rsidR="001452AF" w:rsidRPr="00245E11" w:rsidRDefault="001452AF" w:rsidP="00245E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245E11">
              <w:rPr>
                <w:rFonts w:cs="Arial"/>
                <w:color w:val="000000"/>
              </w:rPr>
              <w:t xml:space="preserve">Excellent administrative </w:t>
            </w:r>
            <w:r w:rsidR="002665D4">
              <w:rPr>
                <w:rFonts w:cs="Arial"/>
                <w:color w:val="000000"/>
              </w:rPr>
              <w:t>and numeracy skills and proven IT skills</w:t>
            </w:r>
          </w:p>
          <w:p w:rsidR="001452AF" w:rsidRPr="004C3E03" w:rsidRDefault="001452AF" w:rsidP="00245E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4C3E03">
              <w:rPr>
                <w:rFonts w:cs="Arial"/>
                <w:color w:val="000000"/>
              </w:rPr>
              <w:t>Excellent organisational skills and the ability to prioritise</w:t>
            </w:r>
          </w:p>
          <w:p w:rsidR="001452AF" w:rsidRPr="00245E11" w:rsidRDefault="00CF14FF" w:rsidP="00245E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Proactive and t</w:t>
            </w:r>
            <w:r w:rsidR="001452AF" w:rsidRPr="00245E11">
              <w:rPr>
                <w:rFonts w:cs="Arial"/>
              </w:rPr>
              <w:t>he ability to work unsupervised and under own initiative</w:t>
            </w:r>
          </w:p>
          <w:p w:rsidR="0046588E" w:rsidRPr="00245E11" w:rsidRDefault="00245E11" w:rsidP="00245E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Good understanding of how to operate within a diverse environment</w:t>
            </w:r>
          </w:p>
          <w:p w:rsidR="001452AF" w:rsidRPr="002A0599" w:rsidRDefault="001452AF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1452AF" w:rsidRDefault="001452AF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2A0599">
              <w:rPr>
                <w:rFonts w:cs="Arial"/>
                <w:b/>
                <w:bCs/>
                <w:color w:val="000000"/>
              </w:rPr>
              <w:t>Desirable</w:t>
            </w:r>
            <w:r w:rsidR="004C3E03">
              <w:rPr>
                <w:rFonts w:cs="Arial"/>
                <w:b/>
                <w:bCs/>
                <w:color w:val="000000"/>
              </w:rPr>
              <w:t>:-</w:t>
            </w:r>
          </w:p>
          <w:p w:rsidR="001452AF" w:rsidRPr="00245E11" w:rsidRDefault="001452AF" w:rsidP="00245E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bookmarkStart w:id="0" w:name="_GoBack"/>
            <w:bookmarkEnd w:id="0"/>
            <w:r w:rsidRPr="00245E11">
              <w:rPr>
                <w:rFonts w:cs="Arial"/>
                <w:color w:val="000000"/>
              </w:rPr>
              <w:t>An interest in London’s history</w:t>
            </w:r>
          </w:p>
          <w:p w:rsidR="00130BAD" w:rsidRDefault="00130BAD" w:rsidP="00245E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245E11">
              <w:rPr>
                <w:rFonts w:cs="Arial"/>
                <w:color w:val="000000"/>
              </w:rPr>
              <w:t>A degree in a subject relevant to the history and activities of the Charterhouse</w:t>
            </w:r>
          </w:p>
          <w:p w:rsidR="00245E11" w:rsidRPr="00245E11" w:rsidRDefault="00245E11" w:rsidP="00245E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 good understanding of social media and online communication tools adapted to different audiences</w:t>
            </w:r>
          </w:p>
          <w:p w:rsidR="001452AF" w:rsidRPr="002A0599" w:rsidRDefault="001452AF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1452AF" w:rsidRPr="002A0599" w:rsidTr="001452AF">
        <w:tc>
          <w:tcPr>
            <w:tcW w:w="2547" w:type="dxa"/>
          </w:tcPr>
          <w:p w:rsidR="001452AF" w:rsidRPr="002A0599" w:rsidRDefault="001452AF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2A0599">
              <w:rPr>
                <w:rFonts w:cs="Arial"/>
                <w:b/>
                <w:bCs/>
                <w:color w:val="000000"/>
              </w:rPr>
              <w:lastRenderedPageBreak/>
              <w:t>Special</w:t>
            </w:r>
          </w:p>
          <w:p w:rsidR="001452AF" w:rsidRPr="002A0599" w:rsidRDefault="001452AF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2A0599">
              <w:rPr>
                <w:rFonts w:cs="Arial"/>
                <w:b/>
                <w:bCs/>
                <w:color w:val="000000"/>
              </w:rPr>
              <w:t>Circumstances</w:t>
            </w:r>
          </w:p>
          <w:p w:rsidR="001452AF" w:rsidRPr="002A0599" w:rsidRDefault="001452AF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469" w:type="dxa"/>
          </w:tcPr>
          <w:p w:rsidR="001452AF" w:rsidRPr="00245E11" w:rsidRDefault="001452AF" w:rsidP="00245E1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0" w:hanging="427"/>
              <w:jc w:val="both"/>
              <w:rPr>
                <w:rFonts w:cs="Arial"/>
                <w:color w:val="000000"/>
              </w:rPr>
            </w:pPr>
            <w:r w:rsidRPr="00245E11">
              <w:rPr>
                <w:rFonts w:cs="Arial"/>
                <w:color w:val="000000"/>
              </w:rPr>
              <w:t>Occasional evening or weekend working may be required, for</w:t>
            </w:r>
            <w:r w:rsidR="00245E11" w:rsidRPr="00245E11">
              <w:rPr>
                <w:rFonts w:cs="Arial"/>
                <w:color w:val="000000"/>
              </w:rPr>
              <w:t xml:space="preserve"> </w:t>
            </w:r>
            <w:r w:rsidRPr="00245E11">
              <w:rPr>
                <w:rFonts w:cs="Arial"/>
                <w:color w:val="000000"/>
              </w:rPr>
              <w:t>which leave in lieu will be given</w:t>
            </w:r>
            <w:r w:rsidR="00986B94" w:rsidRPr="00245E11">
              <w:rPr>
                <w:rFonts w:cs="Arial"/>
                <w:color w:val="000000"/>
              </w:rPr>
              <w:t>.</w:t>
            </w:r>
          </w:p>
          <w:p w:rsidR="001452AF" w:rsidRPr="00245E11" w:rsidRDefault="00245E11" w:rsidP="00245E1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0" w:hanging="427"/>
              <w:jc w:val="both"/>
              <w:rPr>
                <w:rFonts w:cs="Arial"/>
                <w:color w:val="000000"/>
              </w:rPr>
            </w:pPr>
            <w:r w:rsidRPr="00245E11">
              <w:rPr>
                <w:rFonts w:cs="Arial"/>
                <w:color w:val="000000"/>
              </w:rPr>
              <w:t xml:space="preserve">The person will need to undergo an </w:t>
            </w:r>
            <w:r w:rsidR="0046588E" w:rsidRPr="00245E11">
              <w:rPr>
                <w:rFonts w:cs="Arial"/>
                <w:color w:val="000000"/>
              </w:rPr>
              <w:t>Enhanced DBS</w:t>
            </w:r>
            <w:r w:rsidRPr="00245E11">
              <w:rPr>
                <w:rFonts w:cs="Arial"/>
                <w:color w:val="000000"/>
              </w:rPr>
              <w:t xml:space="preserve"> check. </w:t>
            </w:r>
            <w:r w:rsidR="001452AF" w:rsidRPr="00245E11">
              <w:rPr>
                <w:rFonts w:cs="Arial"/>
                <w:color w:val="000000"/>
              </w:rPr>
              <w:t>A</w:t>
            </w:r>
            <w:r w:rsidRPr="00245E11">
              <w:rPr>
                <w:rFonts w:cs="Arial"/>
                <w:color w:val="000000"/>
              </w:rPr>
              <w:t xml:space="preserve"> </w:t>
            </w:r>
            <w:r w:rsidR="001452AF" w:rsidRPr="00245E11">
              <w:rPr>
                <w:rFonts w:cs="Arial"/>
                <w:color w:val="000000"/>
              </w:rPr>
              <w:t>criminal record may not necessarily be a bar to employment, as</w:t>
            </w:r>
            <w:r w:rsidR="00986B94" w:rsidRPr="00245E11">
              <w:rPr>
                <w:rFonts w:cs="Arial"/>
                <w:color w:val="000000"/>
              </w:rPr>
              <w:t xml:space="preserve"> </w:t>
            </w:r>
            <w:r w:rsidR="001452AF" w:rsidRPr="00245E11">
              <w:rPr>
                <w:rFonts w:cs="Arial"/>
                <w:color w:val="000000"/>
              </w:rPr>
              <w:t>any decision will be treated on its merits and individual</w:t>
            </w:r>
            <w:r w:rsidRPr="00245E11">
              <w:rPr>
                <w:rFonts w:cs="Arial"/>
                <w:color w:val="000000"/>
              </w:rPr>
              <w:t xml:space="preserve"> </w:t>
            </w:r>
            <w:r w:rsidR="001452AF" w:rsidRPr="00245E11">
              <w:rPr>
                <w:rFonts w:cs="Arial"/>
                <w:color w:val="000000"/>
              </w:rPr>
              <w:t>circumstances subject to the museum’s overriding obligations to</w:t>
            </w:r>
            <w:r w:rsidR="00986B94" w:rsidRPr="00245E11">
              <w:rPr>
                <w:rFonts w:cs="Arial"/>
                <w:color w:val="000000"/>
              </w:rPr>
              <w:t xml:space="preserve"> </w:t>
            </w:r>
            <w:r w:rsidR="001452AF" w:rsidRPr="00245E11">
              <w:rPr>
                <w:rFonts w:cs="Arial"/>
                <w:color w:val="000000"/>
              </w:rPr>
              <w:t>protect the children and vulnerable adults in its charge, members</w:t>
            </w:r>
            <w:r w:rsidR="00986B94" w:rsidRPr="00245E11">
              <w:rPr>
                <w:rFonts w:cs="Arial"/>
                <w:color w:val="000000"/>
              </w:rPr>
              <w:t xml:space="preserve"> </w:t>
            </w:r>
            <w:r w:rsidR="001452AF" w:rsidRPr="00245E11">
              <w:rPr>
                <w:rFonts w:cs="Arial"/>
                <w:color w:val="000000"/>
              </w:rPr>
              <w:t>of the public, the safety of the museum’s staff and the collection</w:t>
            </w:r>
          </w:p>
          <w:p w:rsidR="001452AF" w:rsidRPr="002A0599" w:rsidRDefault="001452AF" w:rsidP="00245E1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</w:tbl>
    <w:p w:rsidR="00D45408" w:rsidRPr="002A0599" w:rsidRDefault="00D45408" w:rsidP="00245E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D45408" w:rsidRPr="002A0599" w:rsidRDefault="00D45408" w:rsidP="00245E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sectPr w:rsidR="00D45408" w:rsidRPr="002A0599" w:rsidSect="00680AB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CDF"/>
    <w:multiLevelType w:val="hybridMultilevel"/>
    <w:tmpl w:val="00D66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A49D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E2382"/>
    <w:multiLevelType w:val="hybridMultilevel"/>
    <w:tmpl w:val="E3642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568C"/>
    <w:multiLevelType w:val="hybridMultilevel"/>
    <w:tmpl w:val="0456CCBC"/>
    <w:lvl w:ilvl="0" w:tplc="08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29FB2A88"/>
    <w:multiLevelType w:val="hybridMultilevel"/>
    <w:tmpl w:val="0500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C4174"/>
    <w:multiLevelType w:val="hybridMultilevel"/>
    <w:tmpl w:val="8840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4126"/>
    <w:multiLevelType w:val="hybridMultilevel"/>
    <w:tmpl w:val="4724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7C11"/>
    <w:multiLevelType w:val="hybridMultilevel"/>
    <w:tmpl w:val="0F0EF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C40A2">
      <w:numFmt w:val="bullet"/>
      <w:lvlText w:val="•"/>
      <w:lvlJc w:val="left"/>
      <w:pPr>
        <w:ind w:left="1440" w:hanging="360"/>
      </w:pPr>
      <w:rPr>
        <w:rFonts w:ascii="Calibri" w:eastAsiaTheme="minorHAnsi" w:hAnsi="Calibri" w:cs="SymbolMT" w:hint="default"/>
        <w:color w:val="40404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15019"/>
    <w:multiLevelType w:val="hybridMultilevel"/>
    <w:tmpl w:val="07F46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D2A36"/>
    <w:multiLevelType w:val="hybridMultilevel"/>
    <w:tmpl w:val="943C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8DCAA">
      <w:numFmt w:val="bullet"/>
      <w:lvlText w:val="•"/>
      <w:lvlJc w:val="left"/>
      <w:pPr>
        <w:ind w:left="1440" w:hanging="360"/>
      </w:pPr>
      <w:rPr>
        <w:rFonts w:ascii="Calibri" w:eastAsiaTheme="minorHAnsi" w:hAnsi="Calibri" w:cs="SymbolMT" w:hint="default"/>
        <w:color w:val="40404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3D"/>
    <w:rsid w:val="000A5035"/>
    <w:rsid w:val="000B53D2"/>
    <w:rsid w:val="00130BAD"/>
    <w:rsid w:val="001452AF"/>
    <w:rsid w:val="0017196B"/>
    <w:rsid w:val="00182B92"/>
    <w:rsid w:val="00183AD9"/>
    <w:rsid w:val="001878D1"/>
    <w:rsid w:val="001B008D"/>
    <w:rsid w:val="00245E11"/>
    <w:rsid w:val="002665D4"/>
    <w:rsid w:val="002A0599"/>
    <w:rsid w:val="002A1D44"/>
    <w:rsid w:val="002C2872"/>
    <w:rsid w:val="00366A96"/>
    <w:rsid w:val="00383C29"/>
    <w:rsid w:val="0046588E"/>
    <w:rsid w:val="004C3E03"/>
    <w:rsid w:val="00511AE8"/>
    <w:rsid w:val="005121AF"/>
    <w:rsid w:val="0053629B"/>
    <w:rsid w:val="00680ABD"/>
    <w:rsid w:val="00691224"/>
    <w:rsid w:val="0070224C"/>
    <w:rsid w:val="0078680B"/>
    <w:rsid w:val="007D2352"/>
    <w:rsid w:val="00903B3D"/>
    <w:rsid w:val="0092594C"/>
    <w:rsid w:val="009554B1"/>
    <w:rsid w:val="00986B94"/>
    <w:rsid w:val="009E3221"/>
    <w:rsid w:val="00A3292C"/>
    <w:rsid w:val="00AA3E79"/>
    <w:rsid w:val="00AE0205"/>
    <w:rsid w:val="00B220DC"/>
    <w:rsid w:val="00B67185"/>
    <w:rsid w:val="00BE0052"/>
    <w:rsid w:val="00C36041"/>
    <w:rsid w:val="00C5411A"/>
    <w:rsid w:val="00CF14FF"/>
    <w:rsid w:val="00D45408"/>
    <w:rsid w:val="00DE35DB"/>
    <w:rsid w:val="00EB50A0"/>
    <w:rsid w:val="00F4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92112-7BAD-4F82-A4F8-3B06BF21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Tickell</dc:creator>
  <cp:keywords/>
  <dc:description/>
  <cp:lastModifiedBy>Ellie Darton-Moore</cp:lastModifiedBy>
  <cp:revision>12</cp:revision>
  <cp:lastPrinted>2017-11-30T10:15:00Z</cp:lastPrinted>
  <dcterms:created xsi:type="dcterms:W3CDTF">2017-11-15T16:47:00Z</dcterms:created>
  <dcterms:modified xsi:type="dcterms:W3CDTF">2017-11-30T10:55:00Z</dcterms:modified>
</cp:coreProperties>
</file>